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38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8"/>
        <w:gridCol w:w="1926"/>
        <w:gridCol w:w="3131"/>
        <w:gridCol w:w="1412"/>
        <w:gridCol w:w="1245"/>
        <w:gridCol w:w="3525"/>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8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44"/>
                <w:szCs w:val="44"/>
                <w:u w:val="none"/>
              </w:rPr>
            </w:pPr>
            <w:bookmarkStart w:id="0" w:name="_GoBack"/>
            <w:r>
              <w:rPr>
                <w:rFonts w:hint="eastAsia" w:ascii="仿宋" w:hAnsi="仿宋" w:eastAsia="仿宋" w:cs="仿宋"/>
                <w:b/>
                <w:bCs/>
                <w:i w:val="0"/>
                <w:iCs w:val="0"/>
                <w:color w:val="000000"/>
                <w:kern w:val="0"/>
                <w:sz w:val="44"/>
                <w:szCs w:val="44"/>
                <w:u w:val="none"/>
                <w:lang w:val="en-US" w:eastAsia="zh-CN" w:bidi="ar"/>
              </w:rPr>
              <w:t>报 价 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项目名称</w:t>
            </w:r>
          </w:p>
        </w:tc>
        <w:tc>
          <w:tcPr>
            <w:tcW w:w="31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采购内容</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投标限价</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采购要求</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1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凤鸣水厂电动三轮车采购项目</w:t>
            </w:r>
          </w:p>
        </w:tc>
        <w:tc>
          <w:tcPr>
            <w:tcW w:w="31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对雅安市雨城区水务投资有限公司下属的凤鸣水厂供应保质的一台电动三轮车</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FF0000"/>
                <w:sz w:val="20"/>
                <w:szCs w:val="20"/>
                <w:u w:val="none"/>
                <w:lang w:val="en-US"/>
              </w:rPr>
            </w:pPr>
            <w:r>
              <w:rPr>
                <w:rFonts w:hint="eastAsia" w:ascii="仿宋" w:hAnsi="仿宋" w:eastAsia="仿宋" w:cs="仿宋"/>
                <w:i w:val="0"/>
                <w:iCs w:val="0"/>
                <w:color w:val="auto"/>
                <w:kern w:val="0"/>
                <w:sz w:val="20"/>
                <w:szCs w:val="20"/>
                <w:u w:val="none"/>
                <w:lang w:val="en-US" w:eastAsia="zh-CN" w:bidi="ar"/>
              </w:rPr>
              <w:t>8000元</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动力：1500W-1800W；续航：80KM;电池：铅酸电池；载重80KG；货箱：1.6米。包上户。</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31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FF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13817"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1、采购控制价金额为包干价，包括产品价格、现在和将来的所有税款、关税与其它财政和公共费用、运输、卸货、搬运等一切费用，乙方不得向甲方要求合同总金额以外的任何费用。</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2、采取一次性不可更改的报价方式报价。</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3、质量标准：达到国家及行业相关部门的质量要求且通过甲方验收。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4、中标人的选取：按合理低价原则，确定中标候选人，报价超过控制价将视为无效报价。</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5、结算方式：合同约定。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44"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投标人：</w:t>
            </w:r>
          </w:p>
        </w:tc>
        <w:tc>
          <w:tcPr>
            <w:tcW w:w="3131" w:type="dxa"/>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0"/>
                <w:szCs w:val="20"/>
                <w:u w:val="none"/>
              </w:rPr>
            </w:pPr>
          </w:p>
        </w:tc>
        <w:tc>
          <w:tcPr>
            <w:tcW w:w="8042"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电话：</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OWQ4MWYxZGIzYjc1YzE5NzNlZmY2ODQ4NjkwMmYifQ=="/>
  </w:docVars>
  <w:rsids>
    <w:rsidRoot w:val="44B81E37"/>
    <w:rsid w:val="44B81E37"/>
    <w:rsid w:val="49762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2024-01-19T02:51:00Z</dcterms:created>
  <dc:creator>＞o＜</dc:creator>
  <cp:lastModifiedBy>Z</cp:lastModifiedBy>
  <dcterms:modified xsi:type="dcterms:W3CDTF">2024-01-22T03:16:57Z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FCD81C86A7024C7484F796486B0A2478_13</vt:lpwstr>
  </property>
</Properties>
</file>